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AD" w:rsidRDefault="001A1CAD" w:rsidP="006378FB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1A1CAD">
        <w:rPr>
          <w:rFonts w:ascii="TimesNewRomanPSMT" w:hAnsi="TimesNewRomanPSMT"/>
          <w:color w:val="000000"/>
          <w:sz w:val="28"/>
          <w:szCs w:val="28"/>
        </w:rPr>
        <w:t>Министерством экономического развития Российской Федерации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разработаны методические рекомендации по организации мониторинга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количества субъектов малого и среднего предпринимательства (далее –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мониторинг) (прилагаются).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Источником данных для проведения мониторинга является Единый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реестр субъектов малого и среднего предпринимательства (далее – Единый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реестр). Единый реест</w:t>
      </w:r>
      <w:proofErr w:type="gramStart"/>
      <w:r w:rsidRPr="001A1CAD">
        <w:rPr>
          <w:rFonts w:ascii="TimesNewRomanPSMT" w:hAnsi="TimesNewRomanPSMT"/>
          <w:color w:val="000000"/>
          <w:sz w:val="28"/>
          <w:szCs w:val="28"/>
        </w:rPr>
        <w:t>р–</w:t>
      </w:r>
      <w:proofErr w:type="gramEnd"/>
      <w:r w:rsidRPr="001A1CAD">
        <w:rPr>
          <w:rFonts w:ascii="TimesNewRomanPSMT" w:hAnsi="TimesNewRomanPSMT"/>
          <w:color w:val="000000"/>
          <w:sz w:val="28"/>
          <w:szCs w:val="28"/>
        </w:rPr>
        <w:t xml:space="preserve"> это база данных о субъектах малого и среднего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предпринимательства (далее – субъекты МСП), размещенная в открытом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доступе на сайте Федеральной налоговой службы.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1A1CAD">
        <w:rPr>
          <w:rFonts w:ascii="TimesNewRomanPSMT" w:hAnsi="TimesNewRomanPSMT"/>
          <w:color w:val="000000"/>
          <w:sz w:val="28"/>
          <w:szCs w:val="28"/>
        </w:rPr>
        <w:t>Сведения о юридических лицах и об индивидуальных предпринимателях,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отвечающих условиям отнесения к субъектам МСП установленным статьей 4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Федерального закона от 24.07.2007 № 209-ФЗ «О развитии малого и среднего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предпринимательства в Российской Федерации», вносятся в Единый реестр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субъектов МСП в соответствии со статьей 4.1 Федерального закона от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24.07.2007 № 209-ФЗ «О развитии малого и среднего предпринимательства в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Российской Федерации».</w:t>
      </w:r>
      <w:proofErr w:type="gramEnd"/>
      <w:r w:rsidRPr="001A1CAD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1A1CAD">
        <w:rPr>
          <w:rFonts w:ascii="TimesNewRomanPSMT" w:hAnsi="TimesNewRomanPSMT"/>
          <w:color w:val="000000"/>
          <w:sz w:val="28"/>
          <w:szCs w:val="28"/>
        </w:rPr>
        <w:t>Единый реестр субъектов МСП формируется Федеральной налоговой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службой автоматически на основании: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сведений налоговой отчетности юридических лиц, индивидуальных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 xml:space="preserve">предпринимателей (в том числе по </w:t>
      </w:r>
      <w:proofErr w:type="spellStart"/>
      <w:r w:rsidRPr="001A1CAD">
        <w:rPr>
          <w:rFonts w:ascii="TimesNewRomanPSMT" w:hAnsi="TimesNewRomanPSMT"/>
          <w:color w:val="000000"/>
          <w:sz w:val="28"/>
          <w:szCs w:val="28"/>
        </w:rPr>
        <w:t>спецрежимам</w:t>
      </w:r>
      <w:proofErr w:type="spellEnd"/>
      <w:r w:rsidRPr="001A1CAD">
        <w:rPr>
          <w:rFonts w:ascii="TimesNewRomanPSMT" w:hAnsi="TimesNewRomanPSMT"/>
          <w:color w:val="000000"/>
          <w:sz w:val="28"/>
          <w:szCs w:val="28"/>
        </w:rPr>
        <w:t>), позволяющей определить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величину дохода, полученного от предпринимательской деятельности;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сведений о среднесписочной численности работников юридических лиц,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индивидуальных </w:t>
      </w:r>
      <w:r w:rsidRPr="001A1CAD">
        <w:rPr>
          <w:rFonts w:ascii="TimesNewRomanPSMT" w:hAnsi="TimesNewRomanPSMT"/>
          <w:color w:val="000000"/>
          <w:sz w:val="28"/>
          <w:szCs w:val="28"/>
        </w:rPr>
        <w:t>предпринимателей;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сведений, содержащихся в ЕГРЮЛ и ЕГРИП;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сведений, поступивших в Федеральную налоговую службу от других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организаций в порядке информационного взаимодействия.</w:t>
      </w:r>
      <w:proofErr w:type="gramEnd"/>
    </w:p>
    <w:p w:rsidR="00465723" w:rsidRDefault="001A1CAD" w:rsidP="001A1CA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A1CAD">
        <w:rPr>
          <w:rFonts w:ascii="TimesNewRomanPSMT" w:hAnsi="TimesNewRomanPSMT"/>
          <w:color w:val="000000"/>
          <w:sz w:val="28"/>
          <w:szCs w:val="28"/>
        </w:rPr>
        <w:br/>
        <w:t>Важно, нахождение юридического лица, индивидуального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предпринимателя в Едином реестре субъектов МСП – это обязательное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условие получения доступа к мерам государственной поддержки субъектов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МСП.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Из Единого реестра субъектов МСП могут исключить, если юридическое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лицо, индивидуальный предприниматель: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не представили в налоговые органы сведения налоговой отчетности (в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 xml:space="preserve">том числе по </w:t>
      </w:r>
      <w:proofErr w:type="spellStart"/>
      <w:r w:rsidRPr="001A1CAD">
        <w:rPr>
          <w:rFonts w:ascii="TimesNewRomanPSMT" w:hAnsi="TimesNewRomanPSMT"/>
          <w:color w:val="000000"/>
          <w:sz w:val="28"/>
          <w:szCs w:val="28"/>
        </w:rPr>
        <w:t>спецрежимам</w:t>
      </w:r>
      <w:proofErr w:type="spellEnd"/>
      <w:r w:rsidRPr="001A1CAD">
        <w:rPr>
          <w:rFonts w:ascii="TimesNewRomanPSMT" w:hAnsi="TimesNewRomanPSMT"/>
          <w:color w:val="000000"/>
          <w:sz w:val="28"/>
          <w:szCs w:val="28"/>
        </w:rPr>
        <w:t>), позволяющей определить величину дохода,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полученного от предпринимательской деятельности, сведения о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среднесписочной численности работников;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перестали соответствовать условиям отнесения к субъектам МСП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(установлены статьей 4 Федерального закона от 24.07.2007 № 209-ФЗ «О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развитии малого и среднего предпринимательства в Российской Федерации»);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прекратили деятельность.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</w:r>
      <w:r w:rsidRPr="001A1CAD">
        <w:rPr>
          <w:rFonts w:ascii="TimesNewRomanPSMT" w:hAnsi="TimesNewRomanPSMT"/>
          <w:color w:val="000000"/>
          <w:sz w:val="28"/>
          <w:szCs w:val="28"/>
        </w:rPr>
        <w:lastRenderedPageBreak/>
        <w:t>Чтобы не выпасть из Единого реестра субъектов МСП, необходимо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правильно оформлять и своевременно представлять в соответствии с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законодательством Российской Федерации соответствующие сведения и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отчетность в налоговые органы.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В случае если причиной исключения из Единого реестра является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непредставление каких-либо сведений в адрес Федеральной налоговой службы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России, то хозяйствующий субъект должен быть проинформирован о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возможности их подачи.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</w:r>
      <w:r w:rsidRPr="00465723">
        <w:rPr>
          <w:rFonts w:ascii="TimesNewRomanPSMT" w:hAnsi="TimesNewRomanPSMT"/>
          <w:b/>
          <w:color w:val="000000"/>
          <w:sz w:val="28"/>
          <w:szCs w:val="28"/>
          <w:u w:val="single"/>
        </w:rPr>
        <w:t>Подробная информация доступна по ссылке https://mbkuban.ru/edinyyreestr-subektov-malogo-i-srednego-predprinimatelstva/.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В целях организации мониторинга Министерство экономического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развития Российской Федерации рекомендует проводить совместно с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территориальными управлениями Федеральной налоговой службы анализ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причин исключения из Единого реестра субъектов МСП в целях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информирования хозяйствующих субъектов об указанных причинах.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</w:r>
    </w:p>
    <w:p w:rsidR="004B4416" w:rsidRPr="001A1CAD" w:rsidRDefault="001A1CAD" w:rsidP="001A1CAD">
      <w:pPr>
        <w:ind w:firstLine="708"/>
        <w:jc w:val="both"/>
      </w:pPr>
      <w:proofErr w:type="gramStart"/>
      <w:r w:rsidRPr="001A1CAD">
        <w:rPr>
          <w:rFonts w:ascii="TimesNewRomanPSMT" w:hAnsi="TimesNewRomanPSMT"/>
          <w:color w:val="000000"/>
          <w:sz w:val="28"/>
          <w:szCs w:val="28"/>
        </w:rPr>
        <w:t>От Управления Федеральной налоговой службы по Краснодарскому краю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получены списки юридических лиц (далее – ЮЛ) и индивидуальных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предпринимателей (далее – ИП), исключенных из Единого реестра по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состоянию на 10 июля 2023 г., сформированные в разрезе причин исключения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(прилагаются), согласно которым основными причинами исключения ЮЛ из</w:t>
      </w:r>
      <w:r w:rsidR="00465723">
        <w:rPr>
          <w:rFonts w:ascii="TimesNewRomanPSMT" w:hAnsi="TimesNewRomanPSMT"/>
          <w:color w:val="000000"/>
          <w:sz w:val="28"/>
          <w:szCs w:val="28"/>
        </w:rPr>
        <w:t xml:space="preserve"> Единого реестра </w:t>
      </w:r>
      <w:r w:rsidRPr="001A1CAD">
        <w:rPr>
          <w:rFonts w:ascii="TimesNewRomanPSMT" w:hAnsi="TimesNewRomanPSMT"/>
          <w:color w:val="000000"/>
          <w:sz w:val="28"/>
          <w:szCs w:val="28"/>
        </w:rPr>
        <w:t>являются:</w:t>
      </w:r>
      <w:r w:rsidR="004657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A1CAD">
        <w:rPr>
          <w:rFonts w:ascii="TimesNewRomanPSMT" w:hAnsi="TimesNewRomanPSMT"/>
          <w:color w:val="000000"/>
          <w:sz w:val="28"/>
          <w:szCs w:val="28"/>
        </w:rPr>
        <w:t>непредставление сведений о среднесписочной численности работников и</w:t>
      </w:r>
      <w:r w:rsidR="004657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A1CAD">
        <w:rPr>
          <w:rFonts w:ascii="TimesNewRomanPSMT" w:hAnsi="TimesNewRomanPSMT"/>
          <w:color w:val="000000"/>
          <w:sz w:val="28"/>
          <w:szCs w:val="28"/>
        </w:rPr>
        <w:t>налоговой отчетности, позволяющей определить величину дохода (по</w:t>
      </w:r>
      <w:proofErr w:type="gramEnd"/>
      <w:r w:rsidRPr="001A1CAD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1A1CAD">
        <w:rPr>
          <w:rFonts w:ascii="TimesNewRomanPSMT" w:hAnsi="TimesNewRomanPSMT"/>
          <w:color w:val="000000"/>
          <w:sz w:val="28"/>
          <w:szCs w:val="28"/>
        </w:rPr>
        <w:t>указанной причине из Единого реестра исключены 6 ЮЛ);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непредставление налоговой отчетности, позволяющей определить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величину дохода (при наличии сведений о среднесписочной численности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работников) (по указанной причине из Единого реестра исключены 3 ЮЛ);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непредставление сведений о среднесписочной численности работников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(при наличии налоговой отчетности, позволяющей определить величину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дохода) (по указанной причине из Единого реестра исключены 3 ЮЛ).</w:t>
      </w:r>
      <w:proofErr w:type="gramEnd"/>
      <w:r w:rsidRPr="001A1CAD">
        <w:rPr>
          <w:rFonts w:ascii="TimesNewRomanPSMT" w:hAnsi="TimesNewRomanPSMT"/>
          <w:color w:val="000000"/>
          <w:sz w:val="28"/>
          <w:szCs w:val="28"/>
        </w:rPr>
        <w:br/>
        <w:t>В отношении ИП основной причиной их исключения из Единого реестра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является непредставление налоговой отчетности, позволяющей определить</w:t>
      </w:r>
      <w:r w:rsidRPr="001A1CAD">
        <w:rPr>
          <w:rFonts w:ascii="TimesNewRomanPSMT" w:hAnsi="TimesNewRomanPSMT"/>
          <w:color w:val="000000"/>
          <w:sz w:val="28"/>
          <w:szCs w:val="28"/>
        </w:rPr>
        <w:br/>
        <w:t>величину дохода (по указанной причине из Единого реестра исключены 63 ИП)</w:t>
      </w:r>
      <w:r w:rsidR="00465723">
        <w:rPr>
          <w:rFonts w:ascii="TimesNewRomanPSMT" w:hAnsi="TimesNewRomanPSMT"/>
          <w:color w:val="000000"/>
          <w:sz w:val="28"/>
          <w:szCs w:val="28"/>
        </w:rPr>
        <w:t>.</w:t>
      </w:r>
      <w:bookmarkStart w:id="0" w:name="_GoBack"/>
      <w:bookmarkEnd w:id="0"/>
    </w:p>
    <w:sectPr w:rsidR="004B4416" w:rsidRPr="001A1CAD" w:rsidSect="001B5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30"/>
    <w:rsid w:val="001A1CAD"/>
    <w:rsid w:val="001B52A9"/>
    <w:rsid w:val="00230A45"/>
    <w:rsid w:val="00265A42"/>
    <w:rsid w:val="003E4DE2"/>
    <w:rsid w:val="00465723"/>
    <w:rsid w:val="004B4416"/>
    <w:rsid w:val="005403D2"/>
    <w:rsid w:val="005C2BF8"/>
    <w:rsid w:val="006378FB"/>
    <w:rsid w:val="006C65F8"/>
    <w:rsid w:val="007D7F91"/>
    <w:rsid w:val="0084037D"/>
    <w:rsid w:val="00935761"/>
    <w:rsid w:val="00BD2730"/>
    <w:rsid w:val="00BE333B"/>
    <w:rsid w:val="00BE339C"/>
    <w:rsid w:val="00E0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65A4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65A4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Дружаева</dc:creator>
  <cp:lastModifiedBy>Дружаева</cp:lastModifiedBy>
  <cp:revision>3</cp:revision>
  <cp:lastPrinted>2023-09-06T08:04:00Z</cp:lastPrinted>
  <dcterms:created xsi:type="dcterms:W3CDTF">2023-10-18T08:29:00Z</dcterms:created>
  <dcterms:modified xsi:type="dcterms:W3CDTF">2023-10-18T08:44:00Z</dcterms:modified>
</cp:coreProperties>
</file>